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_GBK" w:hAnsi="BatangChe" w:eastAsia="方正小标宋_GBK"/>
          <w:spacing w:val="-10"/>
          <w:sz w:val="32"/>
          <w:szCs w:val="32"/>
        </w:rPr>
      </w:pPr>
      <w:r>
        <w:rPr>
          <w:rFonts w:hint="eastAsia" w:ascii="方正小标宋_GBK" w:hAnsi="BatangChe" w:eastAsia="方正小标宋_GBK"/>
          <w:spacing w:val="-10"/>
          <w:sz w:val="32"/>
          <w:szCs w:val="32"/>
        </w:rPr>
        <w:t>杨凌示范区城镇职工基本医疗保险</w:t>
      </w:r>
    </w:p>
    <w:p>
      <w:pPr>
        <w:spacing w:line="400" w:lineRule="exact"/>
        <w:jc w:val="center"/>
        <w:rPr>
          <w:rFonts w:hint="eastAsia" w:ascii="方正小标宋_GBK" w:hAnsi="BatangChe" w:eastAsia="方正小标宋_GBK"/>
          <w:spacing w:val="-10"/>
          <w:sz w:val="32"/>
          <w:szCs w:val="32"/>
        </w:rPr>
      </w:pPr>
      <w:r>
        <w:rPr>
          <w:rFonts w:hint="eastAsia" w:ascii="方正小标宋_GBK" w:hAnsi="BatangChe" w:eastAsia="方正小标宋_GBK"/>
          <w:spacing w:val="-10"/>
          <w:sz w:val="32"/>
          <w:szCs w:val="32"/>
        </w:rPr>
        <w:t>门诊特殊疾病支付标准</w:t>
      </w:r>
    </w:p>
    <w:tbl>
      <w:tblPr>
        <w:tblStyle w:val="4"/>
        <w:tblW w:w="8920" w:type="dxa"/>
        <w:jc w:val="center"/>
        <w:tblInd w:w="-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533"/>
        <w:gridCol w:w="775"/>
        <w:gridCol w:w="705"/>
        <w:gridCol w:w="2281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2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序号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疾病名称</w:t>
            </w:r>
          </w:p>
        </w:tc>
        <w:tc>
          <w:tcPr>
            <w:tcW w:w="77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报销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比例</w:t>
            </w:r>
          </w:p>
        </w:tc>
        <w:tc>
          <w:tcPr>
            <w:tcW w:w="70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黑体" w:hAnsi="宋体" w:eastAsia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eastAsia="zh-CN"/>
              </w:rPr>
              <w:t>起付标准</w:t>
            </w:r>
          </w:p>
        </w:tc>
        <w:tc>
          <w:tcPr>
            <w:tcW w:w="22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年度最高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支付限额</w:t>
            </w:r>
          </w:p>
        </w:tc>
        <w:tc>
          <w:tcPr>
            <w:tcW w:w="1797" w:type="dxa"/>
            <w:vAlign w:val="center"/>
          </w:tcPr>
          <w:p>
            <w:pPr>
              <w:snapToGrid w:val="0"/>
              <w:spacing w:line="260" w:lineRule="exact"/>
              <w:jc w:val="center"/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恶性肿瘤门诊放化疗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90%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450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20000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恶性肿瘤门诊用药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90%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10000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慢性肾功能衰竭腹膜透析、血液透析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90%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执行城镇职工医保住院年度支付最高限额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/>
                <w:sz w:val="24"/>
              </w:rPr>
              <w:t>限透析费，其它辅助治疗必需使用的费用按80%支付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器官移植术后服用抗排斥药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国产90%、进口80%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执行城镇职工医保住院年度支付最高限额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/>
                <w:sz w:val="24"/>
              </w:rPr>
              <w:t>限抗排斥药费，其它辅助治疗必需使用的费用按80%支付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糖尿病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80%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5000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原发性高血压病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80%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5000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多耐性肺结核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80%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5000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精神分裂症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80%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5000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肝硬化（失代偿期）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80%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10000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冠状动脉硬化性心脏病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80%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5000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慢性再生障碍性贫血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80%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20000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脑梗塞后遗症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80%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5000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脑出血后遗症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80%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5000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慢性活动性肝炎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80%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5000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系统性红斑狼疮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80%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5000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白血病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90%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30000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生长激素缺乏症门诊使用重组人生长激素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80%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5000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抑郁症门诊使用抗抑郁药物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80%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5000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帕金森氏病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80%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5000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大骨节病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70%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22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517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中重度氟骨症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70%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22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693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慢型克山病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70%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22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1650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</w:pPr>
          </w:p>
        </w:tc>
      </w:tr>
    </w:tbl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说明：</w:t>
      </w:r>
      <w:r>
        <w:rPr>
          <w:rFonts w:hint="eastAsia" w:ascii="宋体" w:hAnsi="宋体"/>
          <w:color w:val="000000"/>
          <w:szCs w:val="21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</w:rPr>
        <w:t>经鉴定患有两种及以上特殊疾病的，其定额标准按所患疾病定额标准最高的两种疾病定额之和确定。</w:t>
      </w:r>
    </w:p>
    <w:p>
      <w:pPr>
        <w:ind w:firstLine="630" w:firstLineChars="300"/>
        <w:rPr>
          <w:rFonts w:hint="eastAsia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2、如有调整，以示范区医保政策为准。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80F31"/>
    <w:rsid w:val="23D8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2019-04-30T02:47:00Z</dcterms:created>
  <dc:creator>Serious.LXY</dc:creator>
  <cp:lastModifiedBy>Serious.LXY</cp:lastModifiedBy>
  <dcterms:modified xsi:type="dcterms:W3CDTF">2019-04-30T02:48:22Z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